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ConsPlusNormal1"/>
        <w:numPr>
          <w:ilvl w:val="0"/>
          <w:numId w:val="0"/>
        </w:numPr>
        <w:jc w:val="right"/>
        <w:outlineLvl w:val="1"/>
        <w:rPr>
          <w:rFonts w:ascii="Times New Roman" w:hAnsi="Times New Roman" w:cs="Times New Roman"/>
          <w:sz w:val="28"/>
          <w:szCs w:val="28"/>
        </w:rPr>
      </w:pPr>
      <w:r>
        <w:rPr>
          <w:rFonts w:cs="Times New Roman" w:ascii="Times New Roman" w:hAnsi="Times New Roman"/>
          <w:sz w:val="28"/>
          <w:szCs w:val="28"/>
        </w:rPr>
        <w:t>Приложение 6</w:t>
      </w:r>
    </w:p>
    <w:p>
      <w:pPr>
        <w:pStyle w:val="ConsPlusNormal1"/>
        <w:jc w:val="right"/>
        <w:rPr>
          <w:rFonts w:ascii="Times New Roman" w:hAnsi="Times New Roman" w:cs="Times New Roman"/>
          <w:sz w:val="28"/>
          <w:szCs w:val="28"/>
        </w:rPr>
      </w:pPr>
      <w:r>
        <w:rPr>
          <w:rFonts w:cs="Times New Roman" w:ascii="Times New Roman" w:hAnsi="Times New Roman"/>
          <w:sz w:val="28"/>
          <w:szCs w:val="28"/>
        </w:rPr>
        <w:t>к государственной программе</w:t>
      </w:r>
    </w:p>
    <w:p>
      <w:pPr>
        <w:pStyle w:val="ConsPlusNormal1"/>
        <w:jc w:val="right"/>
        <w:rPr>
          <w:rFonts w:ascii="Times New Roman" w:hAnsi="Times New Roman" w:cs="Times New Roman"/>
          <w:sz w:val="28"/>
          <w:szCs w:val="28"/>
        </w:rPr>
      </w:pPr>
      <w:r>
        <w:rPr>
          <w:rFonts w:cs="Times New Roman" w:ascii="Times New Roman" w:hAnsi="Times New Roman"/>
          <w:sz w:val="28"/>
          <w:szCs w:val="28"/>
        </w:rPr>
        <w:t>«Комплексное развитие сельских</w:t>
      </w:r>
    </w:p>
    <w:p>
      <w:pPr>
        <w:pStyle w:val="ConsPlusNormal1"/>
        <w:jc w:val="right"/>
        <w:rPr>
          <w:rFonts w:ascii="Times New Roman" w:hAnsi="Times New Roman" w:cs="Times New Roman"/>
          <w:sz w:val="28"/>
          <w:szCs w:val="28"/>
        </w:rPr>
      </w:pPr>
      <w:r>
        <w:rPr>
          <w:rFonts w:cs="Times New Roman" w:ascii="Times New Roman" w:hAnsi="Times New Roman"/>
          <w:sz w:val="28"/>
          <w:szCs w:val="28"/>
        </w:rPr>
        <w:t>территорий Брянской области»</w:t>
      </w:r>
    </w:p>
    <w:p>
      <w:pPr>
        <w:pStyle w:val="ConsPlusNormal1"/>
        <w:jc w:val="both"/>
        <w:rPr>
          <w:rFonts w:ascii="Times New Roman" w:hAnsi="Times New Roman" w:cs="Times New Roman"/>
          <w:sz w:val="28"/>
          <w:szCs w:val="28"/>
        </w:rPr>
      </w:pPr>
      <w:r>
        <w:rPr>
          <w:rFonts w:cs="Times New Roman" w:ascii="Times New Roman" w:hAnsi="Times New Roman"/>
          <w:sz w:val="28"/>
          <w:szCs w:val="28"/>
        </w:rPr>
      </w:r>
    </w:p>
    <w:p>
      <w:pPr>
        <w:pStyle w:val="ConsPlusTitle"/>
        <w:jc w:val="center"/>
        <w:rPr>
          <w:rFonts w:ascii="Times New Roman" w:hAnsi="Times New Roman" w:cs="Times New Roman"/>
          <w:sz w:val="28"/>
          <w:szCs w:val="28"/>
        </w:rPr>
      </w:pPr>
      <w:r>
        <w:rPr>
          <w:rFonts w:cs="Times New Roman" w:ascii="Times New Roman" w:hAnsi="Times New Roman"/>
          <w:sz w:val="28"/>
          <w:szCs w:val="28"/>
        </w:rPr>
        <w:t>Порядок</w:t>
      </w:r>
    </w:p>
    <w:p>
      <w:pPr>
        <w:pStyle w:val="ConsPlusTitle"/>
        <w:jc w:val="center"/>
        <w:rPr>
          <w:rFonts w:ascii="Times New Roman" w:hAnsi="Times New Roman" w:cs="Times New Roman"/>
          <w:sz w:val="28"/>
          <w:szCs w:val="28"/>
        </w:rPr>
      </w:pPr>
      <w:r>
        <w:rPr>
          <w:rFonts w:cs="Times New Roman" w:ascii="Times New Roman" w:hAnsi="Times New Roman"/>
          <w:sz w:val="28"/>
          <w:szCs w:val="28"/>
        </w:rPr>
        <w:t>предоставления субсидий из областного бюджета бюджетам</w:t>
      </w:r>
    </w:p>
    <w:p>
      <w:pPr>
        <w:pStyle w:val="ConsPlusTitle"/>
        <w:jc w:val="center"/>
        <w:rPr>
          <w:rFonts w:ascii="Times New Roman" w:hAnsi="Times New Roman" w:cs="Times New Roman"/>
          <w:sz w:val="28"/>
          <w:szCs w:val="28"/>
        </w:rPr>
      </w:pPr>
      <w:r>
        <w:rPr>
          <w:rFonts w:cs="Times New Roman" w:ascii="Times New Roman" w:hAnsi="Times New Roman"/>
          <w:sz w:val="28"/>
          <w:szCs w:val="28"/>
        </w:rPr>
        <w:t>муниципальных образований Брянской области на обеспечение</w:t>
      </w:r>
    </w:p>
    <w:p>
      <w:pPr>
        <w:pStyle w:val="ConsPlusTitle"/>
        <w:jc w:val="center"/>
        <w:rPr>
          <w:rFonts w:ascii="Times New Roman" w:hAnsi="Times New Roman" w:cs="Times New Roman"/>
          <w:sz w:val="28"/>
          <w:szCs w:val="28"/>
        </w:rPr>
      </w:pPr>
      <w:r>
        <w:rPr>
          <w:rFonts w:cs="Times New Roman" w:ascii="Times New Roman" w:hAnsi="Times New Roman"/>
          <w:sz w:val="28"/>
          <w:szCs w:val="28"/>
        </w:rPr>
        <w:t>комплексного развития сельских территорий</w:t>
      </w:r>
    </w:p>
    <w:p>
      <w:pPr>
        <w:pStyle w:val="ConsPlusTitle"/>
        <w:jc w:val="center"/>
        <w:rPr>
          <w:rFonts w:ascii="Times New Roman" w:hAnsi="Times New Roman" w:cs="Times New Roman"/>
          <w:sz w:val="28"/>
          <w:szCs w:val="28"/>
        </w:rPr>
      </w:pPr>
      <w:r>
        <w:rPr>
          <w:rFonts w:cs="Times New Roman" w:ascii="Times New Roman" w:hAnsi="Times New Roman"/>
          <w:sz w:val="28"/>
          <w:szCs w:val="28"/>
        </w:rPr>
        <w:t>в рамках регионального проекта "Современный облик сельских территорий" подпрограммы "Создание и развитие инфраструктуры на сельских территориях» государственной программы "Комплексное развитие сельских территорий Брянской области"</w:t>
      </w:r>
    </w:p>
    <w:p>
      <w:pPr>
        <w:pStyle w:val="ConsPlusNormal1"/>
        <w:jc w:val="both"/>
        <w:rPr>
          <w:rFonts w:ascii="Times New Roman" w:hAnsi="Times New Roman" w:cs="Times New Roman"/>
          <w:sz w:val="28"/>
          <w:szCs w:val="28"/>
        </w:rPr>
      </w:pPr>
      <w:r>
        <w:rPr>
          <w:rFonts w:cs="Times New Roman" w:ascii="Times New Roman" w:hAnsi="Times New Roman"/>
          <w:sz w:val="28"/>
          <w:szCs w:val="28"/>
        </w:rPr>
      </w:r>
    </w:p>
    <w:p>
      <w:pPr>
        <w:pStyle w:val="ConsPlusNormal1"/>
        <w:ind w:firstLine="540"/>
        <w:jc w:val="both"/>
        <w:rPr>
          <w:rFonts w:ascii="Times New Roman" w:hAnsi="Times New Roman" w:cs="Times New Roman"/>
          <w:sz w:val="28"/>
          <w:szCs w:val="28"/>
        </w:rPr>
      </w:pPr>
      <w:bookmarkStart w:id="0" w:name="P4153"/>
      <w:bookmarkEnd w:id="0"/>
      <w:r>
        <w:rPr>
          <w:rFonts w:cs="Times New Roman" w:ascii="Times New Roman" w:hAnsi="Times New Roman"/>
          <w:sz w:val="28"/>
          <w:szCs w:val="28"/>
        </w:rPr>
        <w:t>1. Настоящий Порядок устанавливает цели, порядок и условия предоставления субсидий из областного бюджета бюджетам муниципальных образований Брянской области на обеспечение комплексного развития сельских территорий в рамках регионального проекта «Современный облик сельских территорий» направления (подпрограммы) «Создание и развитие инфраструктуры на сельских территориях», предусматривающего реализацию проектов комплексного развития сельских территорий или сельских агломераций (далее - субсидии, проект), а также критерии отбора муниципальных образований Брянской области для предоставления субсидий.</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В целях настоящего Порядка используются следующие понятия:</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«сельские территории» - сельские поселения или сельские поселения и межселенные территории, объединенные общей территорией в границах муниципального района; сельские населенные пункты, входящие в состав городских поселений, муниципальных округов, городских округов (за исключением городских округов, на территориях которых находятся административные центры субъекта); рабочие поселки, наделенные статусом городских поселений; рабочие поселки, входящие в состав городских поселений, муниципальных округов, городских округов (за исключением городских округов, на территориях которых находятся административные центры субъекта).</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Перечень таких сельских населенных пунктов и рабочих поселков на территории Брянской области определяется нормативным правовым актом департамента сельского хозяйства Брянской области (далее - департамент);</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«сельские агломерации» - сельские территории, а также поселки городского типа и малые города с численностью населения, постоянно проживающего на их территориях, не превышающей 30 тыс. человек.</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Перечень сельских агломераций на территории Брянской области определяется нормативным правовым актом департамента;</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«проект»- документ, содержащий комплекс мероприятий, реализуемых на сельских территориях или в сельских агломерациях, обеспечивающих достижение целей (показателей (индикаторов) муниципальных программ, предусматривающих реализацию проектов комплексного развития сельских территорий (сельских агломераций), направленных на достижение целей регионального проекта «Современный облик сельских территорий» государственной программы «Комплексное развитие сельских территорий Брянской области» (далее - государственная программа) и способствующих достижению целей государственной программы, запланированных к реализации с использованием средств федерального и областного бюджетов, предоставляемых муниципальному образованию в форме субсидии на условиях софинансирования;</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«проектная документация» - совокупность паспорта проекта и иных предусмотренных настоящим Порядком документов, на основании которых осуществляется отбор проектов;</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«паспорт проекта» - документ, содержащий информацию о параметрах проекта, форма которого утверждается Министерством сельского хозяйства Российской Федерации;</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«инициаторы» - граждане Российской Федерации, постоянно проживающие на сельских территориях или в сельских агломерациях (подтверждается регистрацией в установленном порядке по месту жительства), индивидуальные предприниматели, организации независимо от их организационно-правовой формы, орган местного самоуправления, органы территориального общественного самоуправления, осуществляющие свою деятельность на сельских территориях или в сельских агломерациях, формирующие проекты;</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«заявитель» - орган местного самоуправления муниципального образования или инициатор, являющийся ответственным за подготовку проектной документации для предоставления проекта на отбор, проводимый в порядке, утверждаемом Министерством сельского хозяйства Российской Федерации;</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«стоимость проекта» - сумма денежных средств, определенная на основании сметной стоимости, а также иных документально подтвержденных и обоснованных затрат, необходимых для реализации проекта.</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Мероприятия, предусмотренные проектом, должны быть направлены на реализацию следующих направлений:</w:t>
      </w:r>
    </w:p>
    <w:p>
      <w:pPr>
        <w:pStyle w:val="ConsPlusNormal1"/>
        <w:ind w:firstLine="540"/>
        <w:jc w:val="both"/>
        <w:rPr>
          <w:rFonts w:ascii="Times New Roman" w:hAnsi="Times New Roman" w:cs="Times New Roman"/>
          <w:sz w:val="28"/>
          <w:szCs w:val="28"/>
        </w:rPr>
      </w:pPr>
      <w:bookmarkStart w:id="1" w:name="P4166"/>
      <w:bookmarkEnd w:id="1"/>
      <w:r>
        <w:rPr>
          <w:rFonts w:cs="Times New Roman" w:ascii="Times New Roman" w:hAnsi="Times New Roman"/>
          <w:sz w:val="28"/>
          <w:szCs w:val="28"/>
        </w:rPr>
        <w:t>а) создание, строительство, реконструкция (модернизация), капитальный ремонт объектов, включая многофункциональные, предназначенных для предоставления соответствующих услуг населению (в том числе маломобильному):</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муниципальных дошкольных образовательных организаций;</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муниципальных общеобразовательных организаций;</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муниципальных организаций дополнительного образования;</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муниципальных медицинских организаций (за исключением больниц);</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муниципальных организаций культурно-досугового типа;</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муниципальных физкультурно-спортивных организаций;</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муниципальных организаций социального обслуживания;</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б) строительство объектов, предназначенных для размещения в них организаций народных художественных промыслов;</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в) реконструкция (модернизация), капитальный ремонт объектов ремесленной деятельности, объектов туризма, объектов, имеющих туристический потенциал, находящихся в муниципальной собственности;</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 xml:space="preserve">г) приобретение транспортных средств (не бывших в употреблении или эксплуатации) для обеспечения функционирования существующих или создаваемых в рамках проекта объектов, перечисленных в </w:t>
      </w:r>
      <w:hyperlink w:anchor="P4166">
        <w:r>
          <w:rPr>
            <w:rFonts w:cs="Times New Roman" w:ascii="Times New Roman" w:hAnsi="Times New Roman"/>
            <w:sz w:val="28"/>
            <w:szCs w:val="28"/>
          </w:rPr>
          <w:t>подпункте «а» пункта 1</w:t>
        </w:r>
      </w:hyperlink>
      <w:r>
        <w:rPr>
          <w:rFonts w:cs="Times New Roman" w:ascii="Times New Roman" w:hAnsi="Times New Roman"/>
          <w:sz w:val="28"/>
          <w:szCs w:val="28"/>
        </w:rPr>
        <w:t xml:space="preserve"> настоящих Правил:</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автобусов;</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санитарных автомобилей (автомобилей скорой помощи класса А, оснащенных необходимым оборудованием);</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комплексов передвижных медицинских на колесных транспортных средствах со стандартным оснащением для оказания первичной медико-санитарной помощи и проведения профилактического медицинского осмотра;</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 xml:space="preserve">д) приобретение оборудования (не бывшего в употреблении или эксплуатации) для обеспечения функционирования существующих или создаваемых в рамках проекта объектов, перечисленных в </w:t>
      </w:r>
      <w:hyperlink w:anchor="P4166">
        <w:r>
          <w:rPr>
            <w:rFonts w:cs="Times New Roman" w:ascii="Times New Roman" w:hAnsi="Times New Roman"/>
            <w:sz w:val="28"/>
            <w:szCs w:val="28"/>
          </w:rPr>
          <w:t>подпункте «а» пункта 1</w:t>
        </w:r>
      </w:hyperlink>
      <w:r>
        <w:rPr>
          <w:rFonts w:cs="Times New Roman" w:ascii="Times New Roman" w:hAnsi="Times New Roman"/>
          <w:sz w:val="28"/>
          <w:szCs w:val="28"/>
        </w:rPr>
        <w:t xml:space="preserve"> настоящих Правил;</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е) строительство, реконструкция и капитальный ремонт централизованных и нецентрализованных систем водоснабжения, водоотведения, канализации, очистных сооружений, станций водоподготовки, водозаборных и водосбросных сооружений для функционирования объектов жилого и нежилого фонда;</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ж) строительство блочно-модульных котельных и перевод многоквартирных домов на индивидуальное отопление (включая техническое присоединение к газовым сетям), строительство и реконструкция тепловых сетей (за исключением котельных);</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з) строительство газораспределительных сетей с распределительными газопроводами низкого давления (для газоснабжения жилых домов, общественных зданий и коммунально-бытовых предприятий) и среднего давления (для подачи газа в газопровод низкого давления);</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и) строительство, приобретение и монтаж газо-поршневых установок, газгольдеров, сетей электропередачи внутри муниципального образования;</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к) строительство, реконструкция и капитальный ремонт электрических сетей уличного освещения, установка электрооборудования для уличного освещения (в том числе с использованием энергосберегающих технологий);</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л) строительство и оборудование автономных и возобновляемых источников энергии с применением технологий энергосбережения;</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м) развитие телекоммуникаций (строительство (прокладка) линий передачи данных, приобретение и монтаж оборудования, обеспечивающего в том числе возможность беспроводного подключения к информационно-телекоммуникационной сети «Интернет») объектов жилого и нежилого фонда.</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2. Субсидии предоставляются в целях софинансирования расходных обязательств муниципальных образований Брянской области, возникающих в связи с реализацией муниципальных программ, предусматривающих реализацию Проектов, прошедших отбор в соответствии с порядком, утвержденным Министерством сельского хозяйства Российской Федерации.</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Предварительный отбор Проектов проводится в соответствии с Положением, утверждаемым нормативным правовым актом департамента.</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3. В целях исключения дублирования предоставления субсидий с иными мероприятиями государственной поддержки заявителем в составе проектной документации представляется подтверждающий документ федерального органа исполнительной власти (федеральных органов исполнительной власти), осуществляющего функции по выработке и реализации государственной политики в соответствующей сфере, о реализации мероприятия и (или) объекта в соответствии с указанными заявителем характеристиками проекта (мощность, место расположения, период строительства и год ввода в эксплуатацию, планируемые показатели результата), о возможности включения мероприятия и (или) объекта в проект с указанием отсутствия финансирования соответствующего мероприятия и (или) объекта посредством иных мер государственной поддержки.</w:t>
      </w:r>
    </w:p>
    <w:p>
      <w:pPr>
        <w:pStyle w:val="ConsPlusNormal1"/>
        <w:ind w:firstLine="540"/>
        <w:jc w:val="both"/>
        <w:rPr>
          <w:rFonts w:ascii="Times New Roman" w:hAnsi="Times New Roman" w:cs="Times New Roman"/>
          <w:sz w:val="28"/>
          <w:szCs w:val="28"/>
        </w:rPr>
      </w:pPr>
      <w:bookmarkStart w:id="2" w:name="P4191"/>
      <w:bookmarkEnd w:id="2"/>
      <w:r>
        <w:rPr>
          <w:rFonts w:cs="Times New Roman" w:ascii="Times New Roman" w:hAnsi="Times New Roman"/>
          <w:sz w:val="28"/>
          <w:szCs w:val="28"/>
        </w:rPr>
        <w:t>4. Главным распорядителем средств областного бюджета вышеуказанных расходов является департамент.</w:t>
      </w:r>
    </w:p>
    <w:p>
      <w:pPr>
        <w:pStyle w:val="ConsPlusNormal1"/>
        <w:ind w:firstLine="540"/>
        <w:jc w:val="both"/>
        <w:rPr>
          <w:rFonts w:ascii="Times New Roman" w:hAnsi="Times New Roman" w:cs="Times New Roman"/>
          <w:sz w:val="28"/>
          <w:szCs w:val="28"/>
        </w:rPr>
      </w:pPr>
      <w:bookmarkStart w:id="3" w:name="P4192"/>
      <w:bookmarkEnd w:id="3"/>
      <w:r>
        <w:rPr>
          <w:rFonts w:cs="Times New Roman" w:ascii="Times New Roman" w:hAnsi="Times New Roman"/>
          <w:sz w:val="28"/>
          <w:szCs w:val="28"/>
        </w:rPr>
        <w:t>5. Субсидии предоставляются при соблюдении следующих условий:</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а) наличие муниципальной программы, предусматривающей мероприятия, в целях софинансирования которых предоставляется субсидия, в соответствии с требованиями нормативных правовых актов Российской Федерации;</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б) наличие в бюджете муниципального образования Брянской области бюджетных ассигнований на исполнение расходного обязательства муниципального образования Брянской области, софинансирование которого осуществляется из областного бюджета, в объеме, необходимом для его исполнения, включающем размер планируемой к предоставлению из областного бюджета Субсидии;</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 xml:space="preserve">в) заключение  соглашения между главным распорядителем бюджетных средств и органом местного самоуправления муниципального образования Брянской области о предоставлении Субсидии (далее - Соглашение) в соответствии с </w:t>
      </w:r>
      <w:hyperlink r:id="rId2">
        <w:r>
          <w:rPr>
            <w:rFonts w:cs="Times New Roman" w:ascii="Times New Roman" w:hAnsi="Times New Roman"/>
            <w:sz w:val="28"/>
            <w:szCs w:val="28"/>
          </w:rPr>
          <w:t>пунктом 10</w:t>
        </w:r>
      </w:hyperlink>
      <w:r>
        <w:rPr>
          <w:rFonts w:cs="Times New Roman" w:ascii="Times New Roman" w:hAnsi="Times New Roman"/>
          <w:sz w:val="28"/>
          <w:szCs w:val="28"/>
        </w:rPr>
        <w:t xml:space="preserve"> Правил формирования, предоставления и распределения субсидий из областного бюджета бюджетам муниципальных образований Брянской области, утвержденных постановлением Правительства Брянской области от 23 июля 2018 года № 362-п «Об утверждении Правил формирования, предоставления и распределения субсидий из областного бюджета бюджетам муниципальных образований Брянской области» (далее - Правила формирования, предоставления и распределения субсидий).</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Адресное (пообъектное) распределение Субсидий, по включенным в Соглашение Проектам, осуществляется департаментом на основании результатов отбора Проектов, проведенного Министерством сельского хозяйства Российской Федерации.</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Направление Субсидий на цели финансового обеспечения затрат, связанных с реализацией Проектов, не прошедших отбор, не допускается.</w:t>
      </w:r>
    </w:p>
    <w:p>
      <w:pPr>
        <w:pStyle w:val="ConsPlusNormal1"/>
        <w:ind w:firstLine="540"/>
        <w:jc w:val="both"/>
        <w:rPr>
          <w:rFonts w:ascii="Times New Roman" w:hAnsi="Times New Roman" w:cs="Times New Roman"/>
          <w:sz w:val="28"/>
          <w:szCs w:val="28"/>
        </w:rPr>
      </w:pPr>
      <w:bookmarkStart w:id="4" w:name="P4199"/>
      <w:bookmarkEnd w:id="4"/>
      <w:r>
        <w:rPr>
          <w:rFonts w:cs="Times New Roman" w:ascii="Times New Roman" w:hAnsi="Times New Roman"/>
          <w:sz w:val="28"/>
          <w:szCs w:val="28"/>
        </w:rPr>
        <w:t>6. Критериями отбора муниципальных образований Брянской области являются:</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а) наличие Проекта в перечне проектов, прошедших отбор, форма которого устанавливается Министерством сельского хозяйства Российской Федерации;</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б) наличие заявки о предоставлении Субсидии на очередной финансовый год и плановый период, форма которой устанавливается Министерством сельского хозяйства Российской Федерации.</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7. Уровень софинансирования из областного бюджета расходного обязательства муниципального образования Брянской области в соответствующем году, возникшего при реализации Проектов, устанавливается в соответствии с нормативным правовым актом Правительства Брянской области.</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 xml:space="preserve">8. Основанием для отказа в предоставлении Субсидии является несоблюдение муниципальным образованием Брянской области условий и критериев, установленных </w:t>
      </w:r>
      <w:hyperlink w:anchor="P4192">
        <w:r>
          <w:rPr>
            <w:rFonts w:cs="Times New Roman" w:ascii="Times New Roman" w:hAnsi="Times New Roman"/>
            <w:sz w:val="28"/>
            <w:szCs w:val="28"/>
          </w:rPr>
          <w:t>п. 5</w:t>
        </w:r>
      </w:hyperlink>
      <w:r>
        <w:rPr>
          <w:rFonts w:cs="Times New Roman" w:ascii="Times New Roman" w:hAnsi="Times New Roman"/>
          <w:sz w:val="28"/>
          <w:szCs w:val="28"/>
        </w:rPr>
        <w:t xml:space="preserve">, </w:t>
      </w:r>
      <w:hyperlink w:anchor="P4199">
        <w:r>
          <w:rPr>
            <w:rFonts w:cs="Times New Roman" w:ascii="Times New Roman" w:hAnsi="Times New Roman"/>
            <w:sz w:val="28"/>
            <w:szCs w:val="28"/>
          </w:rPr>
          <w:t>6</w:t>
        </w:r>
      </w:hyperlink>
      <w:r>
        <w:rPr>
          <w:rFonts w:cs="Times New Roman" w:ascii="Times New Roman" w:hAnsi="Times New Roman"/>
          <w:sz w:val="28"/>
          <w:szCs w:val="28"/>
        </w:rPr>
        <w:t xml:space="preserve"> настоящего Порядка. Повторное обращение муниципального образования Брянской области допускается после устранения причин, послуживших основанием для отказа.</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9. Размер Субсидии, предоставляемой бюджету i-го муниципального образования Брянской области на соответствующий финансовый год (C</w:t>
      </w:r>
      <w:r>
        <w:rPr>
          <w:rFonts w:cs="Times New Roman" w:ascii="Times New Roman" w:hAnsi="Times New Roman"/>
          <w:sz w:val="28"/>
          <w:szCs w:val="28"/>
          <w:vertAlign w:val="subscript"/>
        </w:rPr>
        <w:t>i</w:t>
      </w:r>
      <w:r>
        <w:rPr>
          <w:rFonts w:cs="Times New Roman" w:ascii="Times New Roman" w:hAnsi="Times New Roman"/>
          <w:sz w:val="28"/>
          <w:szCs w:val="28"/>
        </w:rPr>
        <w:t>), определяется по формуле:</w:t>
      </w:r>
    </w:p>
    <w:p>
      <w:pPr>
        <w:pStyle w:val="ConsPlusNormal1"/>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center"/>
        <w:rPr>
          <w:rFonts w:ascii="Times New Roman" w:hAnsi="Times New Roman" w:cs="Times New Roman"/>
          <w:sz w:val="28"/>
          <w:szCs w:val="28"/>
          <w:lang w:val="en-US"/>
        </w:rPr>
      </w:pPr>
      <w:r>
        <w:rPr>
          <w:rFonts w:cs="Times New Roman" w:ascii="Times New Roman" w:hAnsi="Times New Roman"/>
          <w:sz w:val="28"/>
          <w:szCs w:val="28"/>
          <w:lang w:val="en-US"/>
        </w:rPr>
        <w:t>C</w:t>
      </w:r>
      <w:r>
        <w:rPr>
          <w:rFonts w:cs="Times New Roman" w:ascii="Times New Roman" w:hAnsi="Times New Roman"/>
          <w:sz w:val="28"/>
          <w:szCs w:val="28"/>
          <w:vertAlign w:val="subscript"/>
          <w:lang w:val="en-US"/>
        </w:rPr>
        <w:t>i</w:t>
      </w:r>
      <w:r>
        <w:rPr>
          <w:rFonts w:cs="Times New Roman" w:ascii="Times New Roman" w:hAnsi="Times New Roman"/>
          <w:sz w:val="28"/>
          <w:szCs w:val="28"/>
          <w:lang w:val="en-US"/>
        </w:rPr>
        <w:t xml:space="preserve"> = (X</w:t>
      </w:r>
      <w:r>
        <w:rPr>
          <w:rFonts w:cs="Times New Roman" w:ascii="Times New Roman" w:hAnsi="Times New Roman"/>
          <w:sz w:val="28"/>
          <w:szCs w:val="28"/>
          <w:vertAlign w:val="subscript"/>
          <w:lang w:val="en-US"/>
        </w:rPr>
        <w:t>i1</w:t>
      </w:r>
      <w:r>
        <w:rPr>
          <w:rFonts w:cs="Times New Roman" w:ascii="Times New Roman" w:hAnsi="Times New Roman"/>
          <w:sz w:val="28"/>
          <w:szCs w:val="28"/>
          <w:lang w:val="en-US"/>
        </w:rPr>
        <w:t xml:space="preserve"> + X</w:t>
      </w:r>
      <w:r>
        <w:rPr>
          <w:rFonts w:cs="Times New Roman" w:ascii="Times New Roman" w:hAnsi="Times New Roman"/>
          <w:sz w:val="28"/>
          <w:szCs w:val="28"/>
          <w:vertAlign w:val="subscript"/>
          <w:lang w:val="en-US"/>
        </w:rPr>
        <w:t>i2</w:t>
      </w:r>
      <w:r>
        <w:rPr>
          <w:rFonts w:cs="Times New Roman" w:ascii="Times New Roman" w:hAnsi="Times New Roman"/>
          <w:sz w:val="28"/>
          <w:szCs w:val="28"/>
          <w:lang w:val="en-US"/>
        </w:rPr>
        <w:t xml:space="preserve"> + .... X</w:t>
      </w:r>
      <w:r>
        <w:rPr>
          <w:rFonts w:cs="Times New Roman" w:ascii="Times New Roman" w:hAnsi="Times New Roman"/>
          <w:sz w:val="28"/>
          <w:szCs w:val="28"/>
          <w:vertAlign w:val="subscript"/>
          <w:lang w:val="en-US"/>
        </w:rPr>
        <w:t>in</w:t>
      </w:r>
      <w:r>
        <w:rPr>
          <w:rFonts w:cs="Times New Roman" w:ascii="Times New Roman" w:hAnsi="Times New Roman"/>
          <w:sz w:val="28"/>
          <w:szCs w:val="28"/>
          <w:lang w:val="en-US"/>
        </w:rPr>
        <w:t>) - I) x Y</w:t>
      </w:r>
      <w:r>
        <w:rPr>
          <w:rFonts w:cs="Times New Roman" w:ascii="Times New Roman" w:hAnsi="Times New Roman"/>
          <w:sz w:val="28"/>
          <w:szCs w:val="28"/>
          <w:vertAlign w:val="subscript"/>
          <w:lang w:val="en-US"/>
        </w:rPr>
        <w:t>i</w:t>
      </w:r>
      <w:r>
        <w:rPr>
          <w:rFonts w:cs="Times New Roman" w:ascii="Times New Roman" w:hAnsi="Times New Roman"/>
          <w:sz w:val="28"/>
          <w:szCs w:val="28"/>
          <w:lang w:val="en-US"/>
        </w:rPr>
        <w:t xml:space="preserve"> +</w:t>
      </w:r>
      <w:r>
        <w:rPr>
          <w:rFonts w:cs="Times New Roman" w:ascii="Times New Roman" w:hAnsi="Times New Roman"/>
          <w:sz w:val="28"/>
          <w:szCs w:val="28"/>
        </w:rPr>
        <w:t>С</w:t>
      </w:r>
      <w:r>
        <w:rPr>
          <w:rFonts w:cs="Times New Roman" w:ascii="Times New Roman" w:hAnsi="Times New Roman"/>
          <w:sz w:val="28"/>
          <w:szCs w:val="28"/>
          <w:lang w:val="en-US"/>
        </w:rPr>
        <w:t>,</w:t>
      </w:r>
    </w:p>
    <w:p>
      <w:pPr>
        <w:pStyle w:val="Normal"/>
        <w:spacing w:lineRule="auto" w:line="240" w:before="0" w:after="0"/>
        <w:jc w:val="both"/>
        <w:rPr>
          <w:rFonts w:ascii="Times New Roman" w:hAnsi="Times New Roman" w:cs="Times New Roman"/>
          <w:sz w:val="28"/>
          <w:szCs w:val="28"/>
          <w:lang w:val="en-US"/>
        </w:rPr>
      </w:pPr>
      <w:r>
        <w:rPr>
          <w:rFonts w:cs="Times New Roman" w:ascii="Times New Roman" w:hAnsi="Times New Roman"/>
          <w:sz w:val="28"/>
          <w:szCs w:val="28"/>
          <w:lang w:val="en-US"/>
        </w:rPr>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где:</w:t>
      </w:r>
    </w:p>
    <w:p>
      <w:pPr>
        <w:pStyle w:val="Normal"/>
        <w:spacing w:lineRule="auto" w:line="240" w:before="220" w:after="0"/>
        <w:ind w:firstLine="540"/>
        <w:jc w:val="both"/>
        <w:rPr>
          <w:rFonts w:ascii="Times New Roman" w:hAnsi="Times New Roman" w:cs="Times New Roman"/>
          <w:sz w:val="28"/>
          <w:szCs w:val="28"/>
        </w:rPr>
      </w:pPr>
      <w:r>
        <w:rPr>
          <w:rFonts w:cs="Times New Roman" w:ascii="Times New Roman" w:hAnsi="Times New Roman"/>
          <w:sz w:val="28"/>
          <w:szCs w:val="28"/>
        </w:rPr>
        <w:t>X</w:t>
      </w:r>
      <w:r>
        <w:rPr>
          <w:rFonts w:cs="Times New Roman" w:ascii="Times New Roman" w:hAnsi="Times New Roman"/>
          <w:sz w:val="28"/>
          <w:szCs w:val="28"/>
          <w:vertAlign w:val="subscript"/>
        </w:rPr>
        <w:t>i1</w:t>
      </w:r>
      <w:r>
        <w:rPr>
          <w:rFonts w:cs="Times New Roman" w:ascii="Times New Roman" w:hAnsi="Times New Roman"/>
          <w:sz w:val="28"/>
          <w:szCs w:val="28"/>
        </w:rPr>
        <w:t>, X</w:t>
      </w:r>
      <w:r>
        <w:rPr>
          <w:rFonts w:cs="Times New Roman" w:ascii="Times New Roman" w:hAnsi="Times New Roman"/>
          <w:sz w:val="28"/>
          <w:szCs w:val="28"/>
          <w:vertAlign w:val="subscript"/>
        </w:rPr>
        <w:t>i2</w:t>
      </w:r>
      <w:r>
        <w:rPr>
          <w:rFonts w:cs="Times New Roman" w:ascii="Times New Roman" w:hAnsi="Times New Roman"/>
          <w:sz w:val="28"/>
          <w:szCs w:val="28"/>
        </w:rPr>
        <w:t>, X</w:t>
      </w:r>
      <w:r>
        <w:rPr>
          <w:rFonts w:cs="Times New Roman" w:ascii="Times New Roman" w:hAnsi="Times New Roman"/>
          <w:sz w:val="28"/>
          <w:szCs w:val="28"/>
          <w:vertAlign w:val="subscript"/>
        </w:rPr>
        <w:t>in</w:t>
      </w:r>
      <w:r>
        <w:rPr>
          <w:rFonts w:cs="Times New Roman" w:ascii="Times New Roman" w:hAnsi="Times New Roman"/>
          <w:sz w:val="28"/>
          <w:szCs w:val="28"/>
        </w:rPr>
        <w:t xml:space="preserve"> - стоимость каждого из Проектов, отобранных в порядке, установленном Министерством сельского хозяйства Российской Федерации,   i-го муниципального образования Брянской области;</w:t>
      </w:r>
    </w:p>
    <w:p>
      <w:pPr>
        <w:pStyle w:val="Normal"/>
        <w:spacing w:lineRule="auto" w:line="240" w:before="220" w:after="0"/>
        <w:ind w:firstLine="540"/>
        <w:jc w:val="both"/>
        <w:rPr>
          <w:rFonts w:ascii="Times New Roman" w:hAnsi="Times New Roman" w:cs="Times New Roman"/>
          <w:sz w:val="28"/>
          <w:szCs w:val="28"/>
        </w:rPr>
      </w:pPr>
      <w:r>
        <w:rPr>
          <w:rFonts w:cs="Times New Roman" w:ascii="Times New Roman" w:hAnsi="Times New Roman"/>
          <w:sz w:val="28"/>
          <w:szCs w:val="28"/>
          <w:lang w:val="en-US"/>
        </w:rPr>
        <w:t>I</w:t>
      </w:r>
      <w:r>
        <w:rPr>
          <w:rFonts w:cs="Times New Roman" w:ascii="Times New Roman" w:hAnsi="Times New Roman"/>
          <w:sz w:val="28"/>
          <w:szCs w:val="28"/>
        </w:rPr>
        <w:t xml:space="preserve"> - объем финансирования, предусмотренный на реализацию Проектов за счет внебюджетных источников;</w:t>
      </w:r>
    </w:p>
    <w:p>
      <w:pPr>
        <w:pStyle w:val="Normal"/>
        <w:spacing w:lineRule="auto" w:line="240" w:before="220" w:after="0"/>
        <w:ind w:firstLine="540"/>
        <w:jc w:val="both"/>
        <w:rPr>
          <w:rFonts w:ascii="Times New Roman" w:hAnsi="Times New Roman" w:cs="Times New Roman"/>
          <w:sz w:val="28"/>
          <w:szCs w:val="28"/>
        </w:rPr>
      </w:pPr>
      <w:r>
        <w:rPr>
          <w:rFonts w:cs="Times New Roman" w:ascii="Times New Roman" w:hAnsi="Times New Roman"/>
          <w:sz w:val="28"/>
          <w:szCs w:val="28"/>
        </w:rPr>
        <w:t>Y</w:t>
      </w:r>
      <w:r>
        <w:rPr>
          <w:rFonts w:cs="Times New Roman" w:ascii="Times New Roman" w:hAnsi="Times New Roman"/>
          <w:sz w:val="28"/>
          <w:szCs w:val="28"/>
          <w:vertAlign w:val="subscript"/>
        </w:rPr>
        <w:t>i</w:t>
      </w:r>
      <w:r>
        <w:rPr>
          <w:rFonts w:cs="Times New Roman" w:ascii="Times New Roman" w:hAnsi="Times New Roman"/>
          <w:sz w:val="28"/>
          <w:szCs w:val="28"/>
        </w:rPr>
        <w:t xml:space="preserve"> - предельный уровень софинансирования расходного обязательства i-го муниципального образования Брянской области из областного бюджета на очередной финансовый год (процентов), установленный нормативным правовым актом Правительства Брянской области.</w:t>
      </w:r>
    </w:p>
    <w:p>
      <w:pPr>
        <w:pStyle w:val="Normal"/>
        <w:spacing w:lineRule="auto" w:line="240" w:before="220" w:after="0"/>
        <w:ind w:firstLine="54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540"/>
        <w:jc w:val="both"/>
        <w:rPr>
          <w:rFonts w:ascii="Times New Roman" w:hAnsi="Times New Roman" w:cs="Times New Roman"/>
          <w:sz w:val="28"/>
          <w:szCs w:val="28"/>
        </w:rPr>
      </w:pPr>
      <w:r>
        <w:rPr>
          <w:rFonts w:cs="Times New Roman" w:ascii="Times New Roman" w:hAnsi="Times New Roman"/>
          <w:sz w:val="28"/>
          <w:szCs w:val="28"/>
        </w:rPr>
        <w:t>С - документально подтвержденные фактически понесенные заявителем и (или) инициаторами затраты (за период не более 2 лет, предшествующих дате направления Проекта на отбор) на осуществление разработки проектно-сметной и исходно-разрешительной документации, осуществление экспертизы проектной документации (включая заключения по результатам экспертизы) и обеспечение расходов по направлениям реализации Проекта.</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Размер Субсидии не может превышать стоимость отобранных Проектов.</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10. Распределение Субсидий между муниципальными образованиями Брянской области устанавливается Законом Брянской области об областном бюджете на соответствующий финансовый год и на плановый период и (или) нормативными правовыми актами Правительства Брянской области.</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11. Перечисление Субсидий в бюджеты муниципальных образований Брянской области осуществляется в установленном законом порядке и в пределах лимитов бюджетных обязательств, предусмотренных главным распорядителям средств областного бюджета, на счета, открытые территориальным органам Федерального казначейства в учреждениях Центрального банка Российской Федерации для учета операций со средствами бюджетов муниципальных образований Брянской области.</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12. Предоставление Субсидии осуществляется на основании Соглашения.</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В случае отсутствия софинансирования из федерального бюджета расходных обязательств Брянской области в целях оказания финансовой поддержки выполнения органами местного самоуправления муниципальных образований Брянской области полномочий по вопросам местного значения предоставление субсидий из областного бюджета осуществляется на основании соглашения, подготавливаемого (формируемого) и заключаемого в государственной информационной системе управления государственными и муниципальными финансами Брянской области «Электронный бюджет Брянской области».</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В случае софинансирования из федерального бюджета расходных обязательств Брянской области в целях оказания финансовой поддержки выполнения органами местного самоуправления муниципальных образований Брянской области полномочий по вопросам местного значения предоставление Субсидий осуществляется на основании соглашения, подготавливаемого (формируемого) и заключаемого в государственной интегрированной информационной системе управления общественными финансами «Электронный бюджет».</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13. В случае несоблюдения органом местного самоуправления муниципального образования Брянской области обязательств, предусмотренных Соглашением, главный распорядитель средств областного бюджета вправе приостановить перечисление Субсидии, о чем информирует орган местного самоуправления муниципального образования Брянской области с указанием причин и срока, необходимого для устранения нарушений.</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 xml:space="preserve">В случае не устранения органом местного самоуправления муниципального образования Брянской области допущенных нарушений в установленный срок размер Субсидии подлежит сокращению, а высвобождающиеся средства перераспределяются главным распорядителем средств областного бюджета между другими муниципальными образованиями Брянской области, имеющими право на получение Субсидий в соответствии с </w:t>
      </w:r>
      <w:hyperlink w:anchor="P4191">
        <w:r>
          <w:rPr>
            <w:rFonts w:cs="Times New Roman" w:ascii="Times New Roman" w:hAnsi="Times New Roman"/>
            <w:sz w:val="28"/>
            <w:szCs w:val="28"/>
          </w:rPr>
          <w:t>пунктами 4</w:t>
        </w:r>
      </w:hyperlink>
      <w:r>
        <w:rPr>
          <w:rFonts w:cs="Times New Roman" w:ascii="Times New Roman" w:hAnsi="Times New Roman"/>
          <w:sz w:val="28"/>
          <w:szCs w:val="28"/>
        </w:rPr>
        <w:t xml:space="preserve">, </w:t>
      </w:r>
      <w:hyperlink w:anchor="P4192">
        <w:r>
          <w:rPr>
            <w:rFonts w:cs="Times New Roman" w:ascii="Times New Roman" w:hAnsi="Times New Roman"/>
            <w:sz w:val="28"/>
            <w:szCs w:val="28"/>
          </w:rPr>
          <w:t>5</w:t>
        </w:r>
      </w:hyperlink>
      <w:r>
        <w:rPr>
          <w:rFonts w:cs="Times New Roman" w:ascii="Times New Roman" w:hAnsi="Times New Roman"/>
          <w:sz w:val="28"/>
          <w:szCs w:val="28"/>
        </w:rPr>
        <w:t xml:space="preserve"> настоящего Порядка.</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 xml:space="preserve">14. Внесение изменений в распределение субсидий осуществляется в соответствии со </w:t>
      </w:r>
      <w:hyperlink r:id="rId3">
        <w:r>
          <w:rPr>
            <w:rFonts w:cs="Times New Roman" w:ascii="Times New Roman" w:hAnsi="Times New Roman"/>
            <w:sz w:val="28"/>
            <w:szCs w:val="28"/>
          </w:rPr>
          <w:t>статьей 13</w:t>
        </w:r>
      </w:hyperlink>
      <w:r>
        <w:rPr>
          <w:rFonts w:cs="Times New Roman" w:ascii="Times New Roman" w:hAnsi="Times New Roman"/>
          <w:sz w:val="28"/>
          <w:szCs w:val="28"/>
        </w:rPr>
        <w:t xml:space="preserve"> Закона Брянской области от 2 ноября 2016 года №89-З «О межбюджетных отношениях в Брянской области».</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15. Остатки Субсидий, не использованных в отчетном финансовом году, подлежат возврату в сроки и порядке, установленные нормативными правовыми актами, принятыми в целях исполнения бюджетного законодательства Российской Федерации.</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16. Оценка эффективности использования Субсидии осуществляется на ежеквартальной и ежегодной основе Министерством сельского хозяйства Российской Федерации в соответствии с методикой оценки эффективности реализации Проектов, утверждаемой Министерством сельского хозяйства Российской Федерации.</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Годовая оценка эффективности и результативности использования субсидий и реализации Проектов оценивается на основе достижения планового значения результата использования субсидии - количество реализованных проектов, путем сравнения фактически достигнутых значений результата использования субсидий за соответствующий год со значениями результата использования субсидий, предусмотренными соглашениями.</w:t>
      </w:r>
    </w:p>
    <w:p>
      <w:pPr>
        <w:pStyle w:val="ConsPlusNormal1"/>
        <w:ind w:firstLine="540"/>
        <w:jc w:val="both"/>
        <w:rPr>
          <w:rFonts w:ascii="Times New Roman" w:hAnsi="Times New Roman" w:cs="Times New Roman"/>
          <w:sz w:val="28"/>
          <w:szCs w:val="28"/>
        </w:rPr>
      </w:pPr>
      <w:bookmarkStart w:id="5" w:name="P4226"/>
      <w:bookmarkEnd w:id="5"/>
      <w:r>
        <w:rPr>
          <w:rFonts w:cs="Times New Roman" w:ascii="Times New Roman" w:hAnsi="Times New Roman"/>
          <w:sz w:val="28"/>
          <w:szCs w:val="28"/>
        </w:rPr>
        <w:t xml:space="preserve">17. В случае если муниципальным образованием Брянской области по состоянию на 31 декабря соответствующего финансового года предоставления Субсидии допущены нарушения обязательств, предусмотренных Соглашением в соответствии с </w:t>
      </w:r>
      <w:hyperlink r:id="rId4">
        <w:r>
          <w:rPr>
            <w:rFonts w:cs="Times New Roman" w:ascii="Times New Roman" w:hAnsi="Times New Roman"/>
            <w:sz w:val="28"/>
            <w:szCs w:val="28"/>
          </w:rPr>
          <w:t>подпунктом «б» пункта 10</w:t>
        </w:r>
      </w:hyperlink>
      <w:r>
        <w:rPr>
          <w:rFonts w:cs="Times New Roman" w:ascii="Times New Roman" w:hAnsi="Times New Roman"/>
          <w:sz w:val="28"/>
          <w:szCs w:val="28"/>
        </w:rPr>
        <w:t xml:space="preserve"> Правил формирования, предоставления и распределения субсидий, и в срок до первой даты представления отчетности о достижении значений результата использования Субсидии в соответствии с соглашением в году, следующем за годом предоставления Субсидии, указанные нарушения не устранены, объем средств, подлежащий возврату из бюджета муниципального образования Брянской области в областной бюджет в срок до 1 июня года, следующего за годом предоставления Субсидии, рассчитывается в соответствии с </w:t>
      </w:r>
      <w:hyperlink r:id="rId5">
        <w:r>
          <w:rPr>
            <w:rFonts w:cs="Times New Roman" w:ascii="Times New Roman" w:hAnsi="Times New Roman"/>
            <w:sz w:val="28"/>
            <w:szCs w:val="28"/>
          </w:rPr>
          <w:t>пунктами 16</w:t>
        </w:r>
      </w:hyperlink>
      <w:r>
        <w:rPr>
          <w:rFonts w:cs="Times New Roman" w:ascii="Times New Roman" w:hAnsi="Times New Roman"/>
          <w:sz w:val="28"/>
          <w:szCs w:val="28"/>
        </w:rPr>
        <w:t xml:space="preserve"> - </w:t>
      </w:r>
      <w:hyperlink r:id="rId6">
        <w:r>
          <w:rPr>
            <w:rFonts w:cs="Times New Roman" w:ascii="Times New Roman" w:hAnsi="Times New Roman"/>
            <w:sz w:val="28"/>
            <w:szCs w:val="28"/>
          </w:rPr>
          <w:t>18</w:t>
        </w:r>
      </w:hyperlink>
      <w:r>
        <w:rPr>
          <w:rFonts w:cs="Times New Roman" w:ascii="Times New Roman" w:hAnsi="Times New Roman"/>
          <w:sz w:val="28"/>
          <w:szCs w:val="28"/>
        </w:rPr>
        <w:t xml:space="preserve"> Правил формирования, предоставления и распределения субсидий.</w:t>
      </w:r>
    </w:p>
    <w:p>
      <w:pPr>
        <w:pStyle w:val="ConsPlusNormal1"/>
        <w:ind w:firstLine="540"/>
        <w:jc w:val="both"/>
        <w:rPr>
          <w:rFonts w:ascii="Times New Roman" w:hAnsi="Times New Roman" w:cs="Times New Roman"/>
          <w:sz w:val="28"/>
          <w:szCs w:val="28"/>
        </w:rPr>
      </w:pPr>
      <w:bookmarkStart w:id="6" w:name="P4228"/>
      <w:bookmarkEnd w:id="6"/>
      <w:r>
        <w:rPr>
          <w:rFonts w:cs="Times New Roman" w:ascii="Times New Roman" w:hAnsi="Times New Roman"/>
          <w:sz w:val="28"/>
          <w:szCs w:val="28"/>
        </w:rPr>
        <w:t xml:space="preserve">18. В случае если муниципальным образованием Брянской области по состоянию на 31 декабря года предоставления Субсидии допущены нарушения обязательств, предусмотренных Соглашением в соответствии с </w:t>
      </w:r>
      <w:hyperlink r:id="rId7">
        <w:r>
          <w:rPr>
            <w:rFonts w:cs="Times New Roman" w:ascii="Times New Roman" w:hAnsi="Times New Roman"/>
            <w:sz w:val="28"/>
            <w:szCs w:val="28"/>
          </w:rPr>
          <w:t>подпунктом «в» пункта 10</w:t>
        </w:r>
      </w:hyperlink>
      <w:r>
        <w:rPr>
          <w:rFonts w:cs="Times New Roman" w:ascii="Times New Roman" w:hAnsi="Times New Roman"/>
          <w:sz w:val="28"/>
          <w:szCs w:val="28"/>
        </w:rPr>
        <w:t xml:space="preserve"> Правил формирования, предоставления и распределения Субсидий, и в срок до 1 апреля года, следующего за годом предоставления Субсидии, указанные нарушения не устранены, объем средств, соответствующий 10 процентам объема средств, предусмотренного на год, в котором допущены нарушения указанных обязательств, размеру Субсидии на софинансирование капитальных вложений в объекты муниципальной собственности, по которым допущено нарушение графика выполнения мероприятий по проектированию и (или) строительству (реконструкции, техническому перевооружению) объектов капитального строительства и (или) приобретению объектов недвижимого имущества, без учета размера остатка Субсидии по указанным объектам муниципальной собственности, не использованного по состоянию на 1 января текущего финансового года, подлежит возврату из бюджета муниципального образования Брянской области в доход областного бюджета в срок до 1 июня года, следующего за годом предоставления Субсидии, если органом местного самоуправления муниципального образования Брянской области, допустившем нарушение соответствующих обязательств, не позднее 15 апреля года, следующего за годом предоставления Субсидии, не представлены документы, предусмотренные </w:t>
      </w:r>
      <w:hyperlink r:id="rId8">
        <w:r>
          <w:rPr>
            <w:rFonts w:cs="Times New Roman" w:ascii="Times New Roman" w:hAnsi="Times New Roman"/>
            <w:sz w:val="28"/>
            <w:szCs w:val="28"/>
          </w:rPr>
          <w:t>абзацем седьмым пункта 20</w:t>
        </w:r>
      </w:hyperlink>
      <w:r>
        <w:rPr>
          <w:rFonts w:cs="Times New Roman" w:ascii="Times New Roman" w:hAnsi="Times New Roman"/>
          <w:sz w:val="28"/>
          <w:szCs w:val="28"/>
        </w:rPr>
        <w:t xml:space="preserve"> Правил формирования, предоставления и распределения субсидий.</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 xml:space="preserve">В случае одновременного нарушения муниципальным образованием Брянской области обязательств, предусмотренных Соглашением в соответствии с </w:t>
      </w:r>
      <w:hyperlink r:id="rId9">
        <w:r>
          <w:rPr>
            <w:rFonts w:cs="Times New Roman" w:ascii="Times New Roman" w:hAnsi="Times New Roman"/>
            <w:sz w:val="28"/>
            <w:szCs w:val="28"/>
          </w:rPr>
          <w:t>подпунктами «б</w:t>
        </w:r>
      </w:hyperlink>
      <w:r>
        <w:rPr>
          <w:rFonts w:cs="Times New Roman" w:ascii="Times New Roman" w:hAnsi="Times New Roman"/>
          <w:sz w:val="28"/>
          <w:szCs w:val="28"/>
        </w:rPr>
        <w:t xml:space="preserve">», </w:t>
      </w:r>
      <w:hyperlink r:id="rId10">
        <w:r>
          <w:rPr>
            <w:rFonts w:cs="Times New Roman" w:ascii="Times New Roman" w:hAnsi="Times New Roman"/>
            <w:sz w:val="28"/>
            <w:szCs w:val="28"/>
          </w:rPr>
          <w:t>«в» пункта 10</w:t>
        </w:r>
      </w:hyperlink>
      <w:r>
        <w:rPr>
          <w:rFonts w:cs="Times New Roman" w:ascii="Times New Roman" w:hAnsi="Times New Roman"/>
          <w:sz w:val="28"/>
          <w:szCs w:val="28"/>
        </w:rPr>
        <w:t xml:space="preserve"> Правил формирования, предоставления и распределения субсидий, возврату подлежит объем средств, соответствующий размеру Субсидии на софинансирование капитальных вложений в объекты муниципальной собственности, определенный в соответствии с </w:t>
      </w:r>
      <w:hyperlink w:anchor="P4228">
        <w:r>
          <w:rPr>
            <w:rFonts w:cs="Times New Roman" w:ascii="Times New Roman" w:hAnsi="Times New Roman"/>
            <w:sz w:val="28"/>
            <w:szCs w:val="28"/>
          </w:rPr>
          <w:t>абзацем первым</w:t>
        </w:r>
      </w:hyperlink>
      <w:r>
        <w:rPr>
          <w:rFonts w:cs="Times New Roman" w:ascii="Times New Roman" w:hAnsi="Times New Roman"/>
          <w:sz w:val="28"/>
          <w:szCs w:val="28"/>
        </w:rPr>
        <w:t xml:space="preserve"> настоящего пункта.</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 xml:space="preserve">19. Основанием для освобождения муниципальных образований Брянской области от применения мер ответственности, предусмотренных </w:t>
      </w:r>
      <w:hyperlink w:anchor="P4226">
        <w:r>
          <w:rPr>
            <w:rFonts w:cs="Times New Roman" w:ascii="Times New Roman" w:hAnsi="Times New Roman"/>
            <w:sz w:val="28"/>
            <w:szCs w:val="28"/>
          </w:rPr>
          <w:t>пунктами 17</w:t>
        </w:r>
      </w:hyperlink>
      <w:r>
        <w:rPr>
          <w:rFonts w:cs="Times New Roman" w:ascii="Times New Roman" w:hAnsi="Times New Roman"/>
          <w:sz w:val="28"/>
          <w:szCs w:val="28"/>
        </w:rPr>
        <w:t xml:space="preserve">, </w:t>
      </w:r>
      <w:hyperlink w:anchor="P4228">
        <w:r>
          <w:rPr>
            <w:rFonts w:cs="Times New Roman" w:ascii="Times New Roman" w:hAnsi="Times New Roman"/>
            <w:sz w:val="28"/>
            <w:szCs w:val="28"/>
          </w:rPr>
          <w:t>18</w:t>
        </w:r>
      </w:hyperlink>
      <w:r>
        <w:rPr>
          <w:rFonts w:cs="Times New Roman" w:ascii="Times New Roman" w:hAnsi="Times New Roman"/>
          <w:sz w:val="28"/>
          <w:szCs w:val="28"/>
        </w:rPr>
        <w:t xml:space="preserve"> настоящего Порядка, является документально подтвержденное наступление обстоятельств непреодолимой силы установленных </w:t>
      </w:r>
      <w:hyperlink r:id="rId11">
        <w:r>
          <w:rPr>
            <w:rFonts w:cs="Times New Roman" w:ascii="Times New Roman" w:hAnsi="Times New Roman"/>
            <w:sz w:val="28"/>
            <w:szCs w:val="28"/>
          </w:rPr>
          <w:t>пунктом 20</w:t>
        </w:r>
      </w:hyperlink>
      <w:r>
        <w:rPr>
          <w:rFonts w:cs="Times New Roman" w:ascii="Times New Roman" w:hAnsi="Times New Roman"/>
          <w:sz w:val="28"/>
          <w:szCs w:val="28"/>
        </w:rPr>
        <w:t xml:space="preserve"> Правил формирования, предоставления и распределения субсидий, и препятствующих исполнению соответствующих обязательств.</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 xml:space="preserve">20. Органы местного самоуправления муниципальных образований Брянской области осуществляют закупку работ на реализацию целей, предусмотренных </w:t>
      </w:r>
      <w:hyperlink w:anchor="P4153">
        <w:r>
          <w:rPr>
            <w:rFonts w:cs="Times New Roman" w:ascii="Times New Roman" w:hAnsi="Times New Roman"/>
            <w:sz w:val="28"/>
            <w:szCs w:val="28"/>
          </w:rPr>
          <w:t>пунктом 1</w:t>
        </w:r>
      </w:hyperlink>
      <w:r>
        <w:rPr>
          <w:rFonts w:cs="Times New Roman" w:ascii="Times New Roman" w:hAnsi="Times New Roman"/>
          <w:sz w:val="28"/>
          <w:szCs w:val="28"/>
        </w:rPr>
        <w:t xml:space="preserve"> настоящего Порядка, в соответствии с Федеральным </w:t>
      </w:r>
      <w:hyperlink r:id="rId12">
        <w:r>
          <w:rPr>
            <w:rFonts w:cs="Times New Roman" w:ascii="Times New Roman" w:hAnsi="Times New Roman"/>
            <w:sz w:val="28"/>
            <w:szCs w:val="28"/>
          </w:rPr>
          <w:t>законом</w:t>
        </w:r>
      </w:hyperlink>
      <w:r>
        <w:rPr>
          <w:rFonts w:cs="Times New Roman" w:ascii="Times New Roman" w:hAnsi="Times New Roman"/>
          <w:sz w:val="28"/>
          <w:szCs w:val="28"/>
        </w:rPr>
        <w:t xml:space="preserve"> от 5 апреля 2013 года №44-ФЗ «О контрактной системе в сфере закупок товаров, работ, услуг для обеспечения государственных и муниципальных нужд».</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21. Органы местного самоуправления муниципальных образований Брянской области предоставляют главному распорядителю средств областного бюджета документы, подтверждающие расходы.</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22. Органы местного самоуправления муниципальных образований Брянской области обеспечивают целевое и эффективное использование бюджетных средств. Главный распорядитель средств областного бюджета осуществляет контроль за целевым использованием бюджетных средств.</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 xml:space="preserve">23. В случае нецелевого использования Субсидии и (или) нарушения муниципальным образованием Брянской области условий ее предоставления, в том числе невозврата муниципальным образованием Брянской области средств в областной бюджет в соответствии с </w:t>
      </w:r>
      <w:hyperlink w:anchor="P4226">
        <w:r>
          <w:rPr>
            <w:rFonts w:cs="Times New Roman" w:ascii="Times New Roman" w:hAnsi="Times New Roman"/>
            <w:sz w:val="28"/>
            <w:szCs w:val="28"/>
          </w:rPr>
          <w:t>пунктами 17</w:t>
        </w:r>
      </w:hyperlink>
      <w:r>
        <w:rPr>
          <w:rFonts w:cs="Times New Roman" w:ascii="Times New Roman" w:hAnsi="Times New Roman"/>
          <w:sz w:val="28"/>
          <w:szCs w:val="28"/>
        </w:rPr>
        <w:t xml:space="preserve">, </w:t>
      </w:r>
      <w:hyperlink w:anchor="P4228">
        <w:r>
          <w:rPr>
            <w:rFonts w:cs="Times New Roman" w:ascii="Times New Roman" w:hAnsi="Times New Roman"/>
            <w:sz w:val="28"/>
            <w:szCs w:val="28"/>
          </w:rPr>
          <w:t>18</w:t>
        </w:r>
      </w:hyperlink>
      <w:r>
        <w:rPr>
          <w:rFonts w:cs="Times New Roman" w:ascii="Times New Roman" w:hAnsi="Times New Roman"/>
          <w:sz w:val="28"/>
          <w:szCs w:val="28"/>
        </w:rPr>
        <w:t xml:space="preserve"> настоящего Порядка, к нему применяются бюджетные меры принуждения, предусмотренные бюджетным законодательством Российской Федерации.</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Решения о приостановлении перечисления (сокращении объема) Субсидии не принимаются в случае, если условия предоставления Субсидии были не выполнены в силу обстоятельств непреодолимой силы.</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 xml:space="preserve">24. Орган местного самоуправления муниципального образования Брянской области предоставляет главному распорядителю средств областного бюджета сведения о ходе реализации </w:t>
      </w:r>
      <w:bookmarkStart w:id="7" w:name="_GoBack"/>
      <w:r>
        <w:rPr>
          <w:rFonts w:cs="Times New Roman" w:ascii="Times New Roman" w:hAnsi="Times New Roman"/>
          <w:sz w:val="28"/>
          <w:szCs w:val="28"/>
        </w:rPr>
        <w:t>Проект</w:t>
      </w:r>
      <w:bookmarkEnd w:id="7"/>
      <w:r>
        <w:rPr>
          <w:rFonts w:cs="Times New Roman" w:ascii="Times New Roman" w:hAnsi="Times New Roman"/>
          <w:sz w:val="28"/>
          <w:szCs w:val="28"/>
        </w:rPr>
        <w:t>ов по форме и в срок, которые устанавливаются главным распорядителем средств областного бюджета.</w:t>
      </w:r>
    </w:p>
    <w:p>
      <w:pPr>
        <w:pStyle w:val="ConsPlusNormal1"/>
        <w:ind w:firstLine="540"/>
        <w:jc w:val="both"/>
        <w:rPr>
          <w:rFonts w:ascii="Times New Roman" w:hAnsi="Times New Roman" w:cs="Times New Roman"/>
          <w:sz w:val="28"/>
          <w:szCs w:val="28"/>
        </w:rPr>
      </w:pPr>
      <w:r>
        <w:rPr>
          <w:rFonts w:cs="Times New Roman" w:ascii="Times New Roman" w:hAnsi="Times New Roman"/>
          <w:sz w:val="28"/>
          <w:szCs w:val="28"/>
        </w:rPr>
        <w:t>25. Ответственность за достоверность представляемых сведений (документов) и соблюдение условий предоставления субсидий возлагается на органы местного самоуправления муниципального образований Брянской области.</w:t>
      </w:r>
    </w:p>
    <w:p>
      <w:pPr>
        <w:pStyle w:val="ConsPlusNormal1"/>
        <w:jc w:val="both"/>
        <w:rPr/>
      </w:pPr>
      <w:r>
        <w:rPr/>
      </w:r>
    </w:p>
    <w:p>
      <w:pPr>
        <w:pStyle w:val="Normal"/>
        <w:widowControl/>
        <w:bidi w:val="0"/>
        <w:spacing w:lineRule="auto" w:line="259" w:before="0" w:after="160"/>
        <w:jc w:val="left"/>
        <w:rPr/>
      </w:pPr>
      <w:r>
        <w:rPr/>
      </w:r>
    </w:p>
    <w:sectPr>
      <w:type w:val="nextPage"/>
      <w:pgSz w:w="11906" w:h="16838"/>
      <w:pgMar w:left="1701" w:right="850" w:header="0" w:top="1134" w:footer="0" w:bottom="1134"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Segoe UI">
    <w:charset w:val="cc"/>
    <w:family w:val="roman"/>
    <w:pitch w:val="variable"/>
  </w:font>
  <w:font w:name="Liberation Sans">
    <w:altName w:val="Arial"/>
    <w:charset w:val="cc"/>
    <w:family w:val="swiss"/>
    <w:pitch w:val="variable"/>
  </w:font>
  <w:font w:name="Times New Roman">
    <w:charset w:val="cc"/>
    <w:family w:val="roman"/>
    <w:pitch w:val="variable"/>
  </w:font>
</w:fonts>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a57e1a"/>
    <w:pPr>
      <w:widowControl/>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character" w:styleId="DefaultParagraphFont" w:default="1">
    <w:name w:val="Default Paragraph Font"/>
    <w:uiPriority w:val="1"/>
    <w:semiHidden/>
    <w:unhideWhenUsed/>
    <w:qFormat/>
    <w:rPr/>
  </w:style>
  <w:style w:type="character" w:styleId="ConsPlusNormal" w:customStyle="1">
    <w:name w:val="ConsPlusNormal Знак"/>
    <w:link w:val="ConsPlusNormal"/>
    <w:qFormat/>
    <w:locked/>
    <w:rsid w:val="00f352f9"/>
    <w:rPr>
      <w:rFonts w:ascii="Calibri" w:hAnsi="Calibri" w:eastAsia="Times New Roman" w:cs="Calibri"/>
      <w:szCs w:val="20"/>
      <w:lang w:eastAsia="ru-RU"/>
    </w:rPr>
  </w:style>
  <w:style w:type="character" w:styleId="Style14" w:customStyle="1">
    <w:name w:val="Текст выноски Знак"/>
    <w:basedOn w:val="DefaultParagraphFont"/>
    <w:link w:val="a3"/>
    <w:uiPriority w:val="99"/>
    <w:semiHidden/>
    <w:qFormat/>
    <w:rsid w:val="00eb4565"/>
    <w:rPr>
      <w:rFonts w:ascii="Segoe UI" w:hAnsi="Segoe UI" w:cs="Segoe UI"/>
      <w:sz w:val="18"/>
      <w:szCs w:val="18"/>
    </w:rPr>
  </w:style>
  <w:style w:type="character" w:styleId="Style15">
    <w:name w:val="Интернет-ссылка"/>
    <w:rPr>
      <w:color w:val="000080"/>
      <w:u w:val="single"/>
      <w:lang w:val="zxx" w:eastAsia="zxx" w:bidi="zxx"/>
    </w:rPr>
  </w:style>
  <w:style w:type="paragraph" w:styleId="Style16">
    <w:name w:val="Заголовок"/>
    <w:basedOn w:val="Normal"/>
    <w:next w:val="Style17"/>
    <w:qFormat/>
    <w:pPr>
      <w:keepNext w:val="true"/>
      <w:spacing w:before="240" w:after="120"/>
    </w:pPr>
    <w:rPr>
      <w:rFonts w:ascii="Liberation Sans" w:hAnsi="Liberation Sans" w:eastAsia="Microsoft YaHei" w:cs="Arial Unicode MS"/>
      <w:sz w:val="28"/>
      <w:szCs w:val="28"/>
    </w:rPr>
  </w:style>
  <w:style w:type="paragraph" w:styleId="Style17">
    <w:name w:val="Body Text"/>
    <w:basedOn w:val="Normal"/>
    <w:pPr>
      <w:spacing w:lineRule="auto" w:line="276" w:before="0" w:after="140"/>
    </w:pPr>
    <w:rPr/>
  </w:style>
  <w:style w:type="paragraph" w:styleId="Style18">
    <w:name w:val="List"/>
    <w:basedOn w:val="Style17"/>
    <w:pPr/>
    <w:rPr>
      <w:rFonts w:cs="Arial Unicode MS"/>
    </w:rPr>
  </w:style>
  <w:style w:type="paragraph" w:styleId="Style19">
    <w:name w:val="Caption"/>
    <w:basedOn w:val="Normal"/>
    <w:qFormat/>
    <w:pPr>
      <w:suppressLineNumbers/>
      <w:spacing w:before="120" w:after="120"/>
    </w:pPr>
    <w:rPr>
      <w:rFonts w:cs="Arial Unicode MS"/>
      <w:i/>
      <w:iCs/>
      <w:sz w:val="24"/>
      <w:szCs w:val="24"/>
    </w:rPr>
  </w:style>
  <w:style w:type="paragraph" w:styleId="Style20">
    <w:name w:val="Указатель"/>
    <w:basedOn w:val="Normal"/>
    <w:qFormat/>
    <w:pPr>
      <w:suppressLineNumbers/>
    </w:pPr>
    <w:rPr>
      <w:rFonts w:cs="Arial Unicode MS"/>
    </w:rPr>
  </w:style>
  <w:style w:type="paragraph" w:styleId="ConsPlusNormal1" w:customStyle="1">
    <w:name w:val="ConsPlusNormal"/>
    <w:link w:val="ConsPlusNormal0"/>
    <w:qFormat/>
    <w:rsid w:val="00f352f9"/>
    <w:pPr>
      <w:widowControl w:val="false"/>
      <w:bidi w:val="0"/>
      <w:spacing w:lineRule="auto" w:line="240" w:before="0" w:after="0"/>
      <w:jc w:val="left"/>
    </w:pPr>
    <w:rPr>
      <w:rFonts w:ascii="Calibri" w:hAnsi="Calibri" w:eastAsia="Times New Roman" w:cs="Calibri" w:asciiTheme="minorHAnsi" w:hAnsiTheme="minorHAnsi"/>
      <w:color w:val="auto"/>
      <w:kern w:val="0"/>
      <w:sz w:val="22"/>
      <w:szCs w:val="20"/>
      <w:lang w:eastAsia="ru-RU" w:val="ru-RU" w:bidi="ar-SA"/>
    </w:rPr>
  </w:style>
  <w:style w:type="paragraph" w:styleId="ConsPlusTitle" w:customStyle="1">
    <w:name w:val="ConsPlusTitle"/>
    <w:qFormat/>
    <w:rsid w:val="00f352f9"/>
    <w:pPr>
      <w:widowControl w:val="false"/>
      <w:bidi w:val="0"/>
      <w:spacing w:lineRule="auto" w:line="240" w:before="0" w:after="0"/>
      <w:jc w:val="left"/>
    </w:pPr>
    <w:rPr>
      <w:rFonts w:ascii="Calibri" w:hAnsi="Calibri" w:eastAsia="Times New Roman" w:cs="Calibri" w:asciiTheme="minorHAnsi" w:hAnsiTheme="minorHAnsi"/>
      <w:b/>
      <w:color w:val="auto"/>
      <w:kern w:val="0"/>
      <w:sz w:val="22"/>
      <w:szCs w:val="20"/>
      <w:lang w:eastAsia="ru-RU" w:val="ru-RU" w:bidi="ar-SA"/>
    </w:rPr>
  </w:style>
  <w:style w:type="paragraph" w:styleId="BalloonText">
    <w:name w:val="Balloon Text"/>
    <w:basedOn w:val="Normal"/>
    <w:link w:val="a4"/>
    <w:uiPriority w:val="99"/>
    <w:semiHidden/>
    <w:unhideWhenUsed/>
    <w:qFormat/>
    <w:rsid w:val="00eb4565"/>
    <w:pPr>
      <w:spacing w:lineRule="auto" w:line="240" w:before="0" w:after="0"/>
    </w:pPr>
    <w:rPr>
      <w:rFonts w:ascii="Segoe UI" w:hAnsi="Segoe UI" w:cs="Segoe UI"/>
      <w:sz w:val="18"/>
      <w:szCs w:val="18"/>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A50A344230FE33EC20D92D0EDF45C5F177CFCCF372649F517464E791C9CCC671507E5652805701CD3D495BAAE5594617B891667A45DCAA159A6C0911o9N" TargetMode="External"/><Relationship Id="rId3" Type="http://schemas.openxmlformats.org/officeDocument/2006/relationships/hyperlink" Target="consultantplus://offline/ref=A50A344230FE33EC20D92D0EDF45C5F177CFCCF3726798507064E791C9CCC671507E5652805701CD3D485FAEE5594617B891667A45DCAA159A6C0911o9N" TargetMode="External"/><Relationship Id="rId4" Type="http://schemas.openxmlformats.org/officeDocument/2006/relationships/hyperlink" Target="consultantplus://offline/ref=A50A344230FE33EC20D92D0EDF45C5F177CFCCF372649F517464E791C9CCC671507E5652805701CD3D485BADE5594617B891667A45DCAA159A6C0911o9N" TargetMode="External"/><Relationship Id="rId5" Type="http://schemas.openxmlformats.org/officeDocument/2006/relationships/hyperlink" Target="consultantplus://offline/ref=A50A344230FE33EC20D92D0EDF45C5F177CFCCF372649F517464E791C9CCC671507E5652805701CD3D485AADE5594617B891667A45DCAA159A6C0911o9N" TargetMode="External"/><Relationship Id="rId6" Type="http://schemas.openxmlformats.org/officeDocument/2006/relationships/hyperlink" Target="consultantplus://offline/ref=A50A344230FE33EC20D92D0EDF45C5F177CFCCF372649F517464E791C9CCC671507E5652805701CD3D4859A8E5594617B891667A45DCAA159A6C0911o9N" TargetMode="External"/><Relationship Id="rId7" Type="http://schemas.openxmlformats.org/officeDocument/2006/relationships/hyperlink" Target="consultantplus://offline/ref=A50A344230FE33EC20D92D0EDF45C5F177CFCCF372649F517464E791C9CCC671507E5652805701CD3D495BA9E5594617B891667A45DCAA159A6C0911o9N" TargetMode="External"/><Relationship Id="rId8" Type="http://schemas.openxmlformats.org/officeDocument/2006/relationships/hyperlink" Target="consultantplus://offline/ref=A50A344230FE33EC20D92D0EDF45C5F177CFCCF372649F517464E791C9CCC671507E5652805701CD3D4858AFE5594617B891667A45DCAA159A6C0911o9N" TargetMode="External"/><Relationship Id="rId9" Type="http://schemas.openxmlformats.org/officeDocument/2006/relationships/hyperlink" Target="consultantplus://offline/ref=A50A344230FE33EC20D92D0EDF45C5F177CFCCF372649F517464E791C9CCC671507E5652805701CD3D485BADE5594617B891667A45DCAA159A6C0911o9N" TargetMode="External"/><Relationship Id="rId10" Type="http://schemas.openxmlformats.org/officeDocument/2006/relationships/hyperlink" Target="consultantplus://offline/ref=A50A344230FE33EC20D92D0EDF45C5F177CFCCF372649F517464E791C9CCC671507E5652805701CD3D495BA9E5594617B891667A45DCAA159A6C0911o9N" TargetMode="External"/><Relationship Id="rId11" Type="http://schemas.openxmlformats.org/officeDocument/2006/relationships/hyperlink" Target="consultantplus://offline/ref=A50A344230FE33EC20D92D0EDF45C5F177CFCCF372649F517464E791C9CCC671507E5652805701CD3D4859A3E5594617B891667A45DCAA159A6C0911o9N" TargetMode="External"/><Relationship Id="rId12" Type="http://schemas.openxmlformats.org/officeDocument/2006/relationships/hyperlink" Target="consultantplus://offline/ref=A50A344230FE33EC20D93303C92999FC75C193FA7D669100293BBCCC9EC5CC260531571CC6581ECD34575DAAEC10oDN" TargetMode="External"/><Relationship Id="rId13" Type="http://schemas.openxmlformats.org/officeDocument/2006/relationships/fontTable" Target="fontTable.xml"/><Relationship Id="rId14" Type="http://schemas.openxmlformats.org/officeDocument/2006/relationships/settings" Target="settings.xml"/><Relationship Id="rId15"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Application>LibreOffice/7.0.1.2$Windows_X86_64 LibreOffice_project/7cbcfc562f6eb6708b5ff7d7397325de9e764452</Application>
  <Pages>4</Pages>
  <Words>2370</Words>
  <Characters>19179</Characters>
  <CharactersWithSpaces>21464</CharactersWithSpaces>
  <Paragraphs>89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2021-10-25T11:08:00Z</dcterms:created>
  <dc:creator>user</dc:creator>
  <dc:description/>
  <dc:language>ru-RU</dc:language>
  <cp:lastModifiedBy>user</cp:lastModifiedBy>
  <cp:lastPrinted>2020-12-02T08:32:00Z</cp:lastPrinted>
  <dcterms:modified xsi:type="dcterms:W3CDTF">2021-10-25T11:08:00Z</dcterms:modified>
  <cp:revision>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